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4" w:rsidRPr="00E13504" w:rsidRDefault="00E13504" w:rsidP="00E13504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sz w:val="36"/>
          <w:szCs w:val="24"/>
          <w:lang w:eastAsia="en-GB"/>
        </w:rPr>
      </w:pPr>
      <w:bookmarkStart w:id="0" w:name="_GoBack"/>
      <w:bookmarkEnd w:id="0"/>
      <w:proofErr w:type="spellStart"/>
      <w:r w:rsidRPr="00E13504">
        <w:rPr>
          <w:rFonts w:ascii="Arial" w:eastAsia="Arial" w:hAnsi="Arial" w:cs="Times New Roman"/>
          <w:b/>
          <w:sz w:val="36"/>
          <w:szCs w:val="24"/>
          <w:lang w:eastAsia="en-GB"/>
        </w:rPr>
        <w:t>Shanklea</w:t>
      </w:r>
      <w:proofErr w:type="spellEnd"/>
      <w:r w:rsidRPr="00E13504">
        <w:rPr>
          <w:rFonts w:ascii="Arial" w:eastAsia="Arial" w:hAnsi="Arial" w:cs="Times New Roman"/>
          <w:b/>
          <w:sz w:val="36"/>
          <w:szCs w:val="24"/>
          <w:lang w:eastAsia="en-GB"/>
        </w:rPr>
        <w:t xml:space="preserve"> Primary School:  </w:t>
      </w:r>
      <w:r>
        <w:rPr>
          <w:rFonts w:ascii="Arial" w:eastAsia="Arial" w:hAnsi="Arial" w:cs="Times New Roman"/>
          <w:b/>
          <w:sz w:val="36"/>
          <w:szCs w:val="24"/>
          <w:lang w:eastAsia="en-GB"/>
        </w:rPr>
        <w:t xml:space="preserve">2016-2017 Pupil Premium Performance 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E13504" w:rsidRPr="00E13504" w:rsidTr="006E1410">
        <w:trPr>
          <w:trHeight w:hRule="exact" w:val="502"/>
        </w:trPr>
        <w:tc>
          <w:tcPr>
            <w:tcW w:w="15276" w:type="dxa"/>
            <w:shd w:val="clear" w:color="auto" w:fill="FF33CC"/>
          </w:tcPr>
          <w:p w:rsidR="00E13504" w:rsidRPr="00E13504" w:rsidRDefault="00E13504" w:rsidP="00E13504">
            <w:pPr>
              <w:numPr>
                <w:ilvl w:val="0"/>
                <w:numId w:val="1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Summary of pupil performance 2016-2017</w:t>
            </w:r>
          </w:p>
        </w:tc>
      </w:tr>
    </w:tbl>
    <w:tbl>
      <w:tblPr>
        <w:tblStyle w:val="TableGrid"/>
        <w:tblpPr w:leftFromText="180" w:rightFromText="180" w:vertAnchor="text" w:horzAnchor="margin" w:tblpY="207"/>
        <w:tblW w:w="5000" w:type="pct"/>
        <w:tblLook w:val="04A0" w:firstRow="1" w:lastRow="0" w:firstColumn="1" w:lastColumn="0" w:noHBand="0" w:noVBand="1"/>
      </w:tblPr>
      <w:tblGrid>
        <w:gridCol w:w="8408"/>
        <w:gridCol w:w="1273"/>
        <w:gridCol w:w="1471"/>
        <w:gridCol w:w="1749"/>
        <w:gridCol w:w="1273"/>
      </w:tblGrid>
      <w:tr w:rsidR="00E13504" w:rsidRPr="00E13504" w:rsidTr="00E13504">
        <w:trPr>
          <w:trHeight w:hRule="exact" w:val="1203"/>
        </w:trPr>
        <w:tc>
          <w:tcPr>
            <w:tcW w:w="2965" w:type="pct"/>
            <w:shd w:val="clear" w:color="auto" w:fill="FF33CC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numPr>
                <w:ilvl w:val="0"/>
                <w:numId w:val="1"/>
              </w:numPr>
              <w:spacing w:after="240" w:line="288" w:lineRule="auto"/>
              <w:contextualSpacing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End of EYFS (RECEPTION)  2017 GLD  (55)</w:t>
            </w:r>
          </w:p>
        </w:tc>
        <w:tc>
          <w:tcPr>
            <w:tcW w:w="449" w:type="pct"/>
            <w:shd w:val="clear" w:color="auto" w:fill="D317BD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National </w:t>
            </w:r>
          </w:p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2016</w:t>
            </w:r>
          </w:p>
        </w:tc>
        <w:tc>
          <w:tcPr>
            <w:tcW w:w="519" w:type="pct"/>
            <w:shd w:val="clear" w:color="auto" w:fill="D317BD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Attainment</w:t>
            </w:r>
          </w:p>
        </w:tc>
        <w:tc>
          <w:tcPr>
            <w:tcW w:w="617" w:type="pct"/>
            <w:shd w:val="clear" w:color="auto" w:fill="D317BD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Expected or better progress  </w:t>
            </w:r>
          </w:p>
        </w:tc>
        <w:tc>
          <w:tcPr>
            <w:tcW w:w="449" w:type="pct"/>
            <w:shd w:val="clear" w:color="auto" w:fill="D317BD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Points Progress </w:t>
            </w:r>
          </w:p>
        </w:tc>
      </w:tr>
      <w:tr w:rsidR="00E13504" w:rsidRPr="00E13504" w:rsidTr="00E13504">
        <w:trPr>
          <w:trHeight w:hRule="exact" w:val="631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Average total point score                                                                         </w:t>
            </w:r>
          </w:p>
          <w:p w:rsidR="00E13504" w:rsidRPr="00E13504" w:rsidRDefault="00E13504" w:rsidP="00E13504">
            <w:pPr>
              <w:spacing w:after="240" w:line="288" w:lineRule="auto"/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E13504" w:rsidRPr="00E13504" w:rsidRDefault="00E13504" w:rsidP="00E13504">
            <w:pPr>
              <w:spacing w:after="240" w:line="288" w:lineRule="auto"/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E13504" w:rsidRPr="00E13504" w:rsidRDefault="00E13504" w:rsidP="00E13504">
            <w:pPr>
              <w:spacing w:after="240" w:line="288" w:lineRule="auto"/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E13504" w:rsidRPr="00E13504" w:rsidRDefault="00E13504" w:rsidP="00E13504">
            <w:pPr>
              <w:spacing w:after="240" w:line="288" w:lineRule="auto"/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34.5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36.2</w:t>
            </w:r>
          </w:p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7.1 </w:t>
            </w:r>
          </w:p>
        </w:tc>
      </w:tr>
      <w:tr w:rsidR="00E13504" w:rsidRPr="00E13504" w:rsidTr="00E13504">
        <w:trPr>
          <w:trHeight w:hRule="exact" w:val="655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achieving good level of development                                 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69.3%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83.3%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E13504" w:rsidRPr="00E13504" w:rsidTr="00E13504">
        <w:trPr>
          <w:trHeight w:hRule="exact" w:val="651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achieving at least expected in all 17 early learning goals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67.3%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82.0%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E13504" w:rsidRPr="00E13504" w:rsidTr="00E13504">
        <w:trPr>
          <w:trHeight w:hRule="exact" w:val="524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Working At or Above Expectation in Prime Areas       </w:t>
            </w:r>
          </w:p>
          <w:p w:rsidR="00E13504" w:rsidRPr="00E13504" w:rsidRDefault="00E13504" w:rsidP="00E13504">
            <w:pPr>
              <w:spacing w:after="240" w:line="288" w:lineRule="auto"/>
              <w:ind w:left="360"/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</w:t>
            </w:r>
          </w:p>
          <w:p w:rsidR="00E13504" w:rsidRPr="00E13504" w:rsidRDefault="00E13504" w:rsidP="00E13504">
            <w:pPr>
              <w:spacing w:after="240" w:line="288" w:lineRule="auto"/>
              <w:ind w:left="360"/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                               </w:t>
            </w:r>
          </w:p>
          <w:p w:rsidR="00E13504" w:rsidRPr="00E13504" w:rsidRDefault="00E13504" w:rsidP="00E13504">
            <w:pPr>
              <w:ind w:left="360"/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ind w:left="360"/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numPr>
                <w:ilvl w:val="0"/>
                <w:numId w:val="1"/>
              </w:numPr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numPr>
                <w:ilvl w:val="0"/>
                <w:numId w:val="1"/>
              </w:numPr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all aspects   90%  Above 10%                                                                                                                 80%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92.6%</w:t>
            </w:r>
          </w:p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7.0</w:t>
            </w:r>
          </w:p>
        </w:tc>
      </w:tr>
      <w:tr w:rsidR="00E13504" w:rsidRPr="00E13504" w:rsidTr="00E13504">
        <w:trPr>
          <w:trHeight w:hRule="exact" w:val="639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Working At or Above Expectation in Specific Areas    </w:t>
            </w:r>
          </w:p>
          <w:p w:rsidR="00E13504" w:rsidRPr="00E13504" w:rsidRDefault="00E13504" w:rsidP="00E13504">
            <w:pPr>
              <w:spacing w:after="240" w:line="288" w:lineRule="auto"/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83.3%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7.1 </w:t>
            </w:r>
          </w:p>
        </w:tc>
      </w:tr>
      <w:tr w:rsidR="00E13504" w:rsidRPr="00E13504" w:rsidTr="00E13504">
        <w:trPr>
          <w:trHeight w:hRule="exact" w:val="514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Gap for lowest attaining children – percentage inequality gap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31.4%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4.5%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E13504" w:rsidRPr="00E13504" w:rsidTr="00E13504">
        <w:trPr>
          <w:trHeight w:hRule="exact" w:val="514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Pupil Premium (10)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80%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6.4 </w:t>
            </w:r>
          </w:p>
        </w:tc>
      </w:tr>
      <w:tr w:rsidR="00E13504" w:rsidRPr="00E13504" w:rsidTr="00E13504">
        <w:trPr>
          <w:trHeight w:hRule="exact" w:val="782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spacing w:after="240" w:line="288" w:lineRule="auto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Disadvantaged   (5)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88.2%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spacing w:after="240" w:line="288" w:lineRule="auto"/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7.4</w:t>
            </w:r>
          </w:p>
        </w:tc>
      </w:tr>
      <w:tr w:rsidR="00E13504" w:rsidRPr="00E13504" w:rsidTr="00E13504">
        <w:trPr>
          <w:trHeight w:hRule="exact" w:val="943"/>
        </w:trPr>
        <w:tc>
          <w:tcPr>
            <w:tcW w:w="2965" w:type="pct"/>
            <w:shd w:val="clear" w:color="auto" w:fill="FF33CC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numPr>
                <w:ilvl w:val="0"/>
                <w:numId w:val="2"/>
              </w:numPr>
              <w:contextualSpacing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End of Y1 2017 (Phonics Screening Test)  (48)  </w:t>
            </w:r>
          </w:p>
        </w:tc>
        <w:tc>
          <w:tcPr>
            <w:tcW w:w="449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National 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2016</w:t>
            </w:r>
          </w:p>
        </w:tc>
        <w:tc>
          <w:tcPr>
            <w:tcW w:w="519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School 2017</w:t>
            </w:r>
          </w:p>
        </w:tc>
        <w:tc>
          <w:tcPr>
            <w:tcW w:w="617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Progress </w:t>
            </w:r>
          </w:p>
        </w:tc>
        <w:tc>
          <w:tcPr>
            <w:tcW w:w="449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Points Progress </w:t>
            </w:r>
          </w:p>
        </w:tc>
      </w:tr>
      <w:tr w:rsidR="00E13504" w:rsidRPr="00E13504" w:rsidTr="00E13504">
        <w:trPr>
          <w:trHeight w:hRule="exact" w:val="1071"/>
        </w:trPr>
        <w:tc>
          <w:tcPr>
            <w:tcW w:w="2965" w:type="pct"/>
            <w:shd w:val="clear" w:color="auto" w:fill="FF33CC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Working At Expectation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Y1 81%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Y2 91% 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Y1 88%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Dis(91.3%)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Y1 100%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E13504" w:rsidRPr="00E13504" w:rsidTr="00E13504">
        <w:trPr>
          <w:trHeight w:hRule="exact" w:val="340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Pupil Premium (4)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75%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E13504" w:rsidRPr="00E13504" w:rsidTr="00E13504">
        <w:trPr>
          <w:trHeight w:hRule="exact" w:val="696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 Disadvantaged (4)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69%</w:t>
            </w:r>
          </w:p>
        </w:tc>
        <w:tc>
          <w:tcPr>
            <w:tcW w:w="519" w:type="pct"/>
            <w:shd w:val="clear" w:color="auto" w:fill="EB9119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50%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E13504" w:rsidRPr="00E13504" w:rsidTr="00E13504">
        <w:trPr>
          <w:trHeight w:hRule="exact" w:val="738"/>
        </w:trPr>
        <w:tc>
          <w:tcPr>
            <w:tcW w:w="2965" w:type="pct"/>
            <w:shd w:val="clear" w:color="auto" w:fill="FF33CC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numPr>
                <w:ilvl w:val="0"/>
                <w:numId w:val="2"/>
              </w:numPr>
              <w:spacing w:after="240" w:line="288" w:lineRule="auto"/>
              <w:contextualSpacing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End of </w:t>
            </w:r>
            <w:proofErr w:type="spellStart"/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Keystage</w:t>
            </w:r>
            <w:proofErr w:type="spellEnd"/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 1 (Year 2) 2017  (46)  </w:t>
            </w:r>
          </w:p>
          <w:p w:rsidR="00E13504" w:rsidRPr="00E13504" w:rsidRDefault="00E13504" w:rsidP="00E13504">
            <w:pPr>
              <w:ind w:left="720"/>
              <w:contextualSpacing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National 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2017</w:t>
            </w:r>
          </w:p>
        </w:tc>
        <w:tc>
          <w:tcPr>
            <w:tcW w:w="519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School 2017</w:t>
            </w:r>
          </w:p>
        </w:tc>
        <w:tc>
          <w:tcPr>
            <w:tcW w:w="617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Progress </w:t>
            </w:r>
          </w:p>
        </w:tc>
        <w:tc>
          <w:tcPr>
            <w:tcW w:w="449" w:type="pct"/>
            <w:shd w:val="clear" w:color="auto" w:fill="D317BD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Points Progress </w:t>
            </w:r>
          </w:p>
        </w:tc>
      </w:tr>
      <w:tr w:rsidR="00E13504" w:rsidRPr="00E13504" w:rsidTr="00E13504">
        <w:trPr>
          <w:trHeight w:hRule="exact" w:val="1215"/>
        </w:trPr>
        <w:tc>
          <w:tcPr>
            <w:tcW w:w="2965" w:type="pct"/>
            <w:shd w:val="clear" w:color="auto" w:fill="FF33CC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expected standard                                                       Combined (RWM)   </w:t>
            </w:r>
          </w:p>
          <w:p w:rsidR="00E13504" w:rsidRPr="00E13504" w:rsidRDefault="00E13504" w:rsidP="00E13504">
            <w:pPr>
              <w:ind w:left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a high standard                                                            Combined (RWM) 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63.7%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10.9%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84.8%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26.1%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6.1</w:t>
            </w:r>
          </w:p>
        </w:tc>
      </w:tr>
      <w:tr w:rsidR="00E13504" w:rsidRPr="00E13504" w:rsidTr="00E13504">
        <w:trPr>
          <w:trHeight w:hRule="exact" w:val="1071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% reaching expected standard in reading test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E13504" w:rsidRPr="00E13504" w:rsidRDefault="00E13504" w:rsidP="00E13504">
            <w:pPr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% reaching a high standard in reading test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75.5%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25.2%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91.3%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32.6%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6.2</w:t>
            </w:r>
          </w:p>
        </w:tc>
      </w:tr>
      <w:tr w:rsidR="00E13504" w:rsidRPr="00E13504" w:rsidTr="00E13504">
        <w:trPr>
          <w:trHeight w:hRule="exact" w:val="1072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% reaching expected standard in mathematics test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a high standard in mathematics test 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75.1%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20.5%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91.3%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26.1%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6.0</w:t>
            </w:r>
          </w:p>
        </w:tc>
      </w:tr>
      <w:tr w:rsidR="00E13504" w:rsidRPr="00E13504" w:rsidTr="00E13504">
        <w:trPr>
          <w:trHeight w:hRule="exact" w:val="870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% reaching expected standard in writing (teacher assessment)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E13504" w:rsidRPr="00E13504" w:rsidRDefault="00E13504" w:rsidP="00E13504">
            <w:pPr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% reaching a high standard in writing (teacher assessment)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68.2%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15.6%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84.8%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26.1%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6.2</w:t>
            </w:r>
          </w:p>
        </w:tc>
      </w:tr>
      <w:tr w:rsidR="00E13504" w:rsidRPr="00E13504" w:rsidTr="00E13504">
        <w:trPr>
          <w:trHeight w:hRule="exact" w:val="574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Pupil Premium (5)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n/a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80%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5.9</w:t>
            </w:r>
          </w:p>
        </w:tc>
      </w:tr>
      <w:tr w:rsidR="00E13504" w:rsidRPr="00E13504" w:rsidTr="00E13504">
        <w:trPr>
          <w:trHeight w:hRule="exact" w:val="654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Disadvantaged (4)</w:t>
            </w: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13504" w:rsidRPr="00E13504" w:rsidRDefault="00E13504" w:rsidP="00E13504">
            <w:pPr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56%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75%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6.0</w:t>
            </w:r>
          </w:p>
        </w:tc>
      </w:tr>
      <w:tr w:rsidR="00E13504" w:rsidRPr="00E13504" w:rsidTr="00E13504">
        <w:trPr>
          <w:trHeight w:hRule="exact" w:val="704"/>
        </w:trPr>
        <w:tc>
          <w:tcPr>
            <w:tcW w:w="2965" w:type="pct"/>
            <w:shd w:val="clear" w:color="auto" w:fill="FF33CC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numPr>
                <w:ilvl w:val="0"/>
                <w:numId w:val="2"/>
              </w:numPr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End of Key Stage 2 (Year 6) 2017 (58) Attainment Figures and Progress Key Stage 1 to Key Stage 2</w:t>
            </w:r>
          </w:p>
        </w:tc>
        <w:tc>
          <w:tcPr>
            <w:tcW w:w="449" w:type="pct"/>
            <w:shd w:val="clear" w:color="auto" w:fill="FF33CC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National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2017</w:t>
            </w:r>
          </w:p>
        </w:tc>
        <w:tc>
          <w:tcPr>
            <w:tcW w:w="519" w:type="pct"/>
            <w:shd w:val="clear" w:color="auto" w:fill="FF33CC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School 2017</w:t>
            </w:r>
          </w:p>
        </w:tc>
        <w:tc>
          <w:tcPr>
            <w:tcW w:w="617" w:type="pct"/>
            <w:shd w:val="clear" w:color="auto" w:fill="FF33CC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>Progress</w:t>
            </w:r>
          </w:p>
        </w:tc>
        <w:tc>
          <w:tcPr>
            <w:tcW w:w="449" w:type="pct"/>
            <w:shd w:val="clear" w:color="auto" w:fill="FF33CC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Points Progress </w:t>
            </w:r>
          </w:p>
        </w:tc>
      </w:tr>
      <w:tr w:rsidR="00E13504" w:rsidRPr="00E13504" w:rsidTr="00E13504">
        <w:trPr>
          <w:trHeight w:hRule="exact" w:val="1182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expected standard                                                     Combined (RWM) </w:t>
            </w:r>
          </w:p>
          <w:p w:rsidR="00E13504" w:rsidRPr="00E13504" w:rsidRDefault="00E13504" w:rsidP="00E13504">
            <w:pPr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a high standard                                                          Combined (RWM)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61.1%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8.7%</w:t>
            </w:r>
          </w:p>
        </w:tc>
        <w:tc>
          <w:tcPr>
            <w:tcW w:w="519" w:type="pct"/>
            <w:shd w:val="clear" w:color="auto" w:fill="CFDCE3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83%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13.8%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CFDCE3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6.5</w:t>
            </w:r>
          </w:p>
        </w:tc>
      </w:tr>
      <w:tr w:rsidR="00E13504" w:rsidRPr="00E13504" w:rsidTr="00E13504">
        <w:trPr>
          <w:trHeight w:hRule="exact" w:val="1634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expected standard in reading test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a high standard in reading test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Standardised score                                          </w:t>
            </w:r>
          </w:p>
          <w:p w:rsidR="00E13504" w:rsidRPr="00E13504" w:rsidRDefault="00E13504" w:rsidP="00E13504">
            <w:pPr>
              <w:ind w:left="720"/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71.5%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24.6%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104.1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84.5%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24.1%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105.6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6.5</w:t>
            </w:r>
          </w:p>
        </w:tc>
      </w:tr>
      <w:tr w:rsidR="00E13504" w:rsidRPr="00E13504" w:rsidTr="00E13504">
        <w:trPr>
          <w:trHeight w:hRule="exact" w:val="1501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expected standard in grammar test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a high standard in grammar test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 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Standardised score                                                                                                                                                       </w:t>
            </w: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76.9%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30.9%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106.1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93.1%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31.0%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108.2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E13504" w:rsidRPr="00E13504" w:rsidTr="00E13504">
        <w:trPr>
          <w:trHeight w:hRule="exact" w:val="1637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expected standard in mathematics test                            </w:t>
            </w:r>
          </w:p>
          <w:p w:rsidR="00E13504" w:rsidRPr="00E13504" w:rsidRDefault="00E13504" w:rsidP="00E13504">
            <w:pPr>
              <w:ind w:left="720" w:hanging="360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a high standard in mathematics test                                 </w:t>
            </w:r>
          </w:p>
          <w:p w:rsidR="00E13504" w:rsidRPr="00E13504" w:rsidRDefault="00E13504" w:rsidP="00E13504">
            <w:pPr>
              <w:ind w:left="720"/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Standardised score  </w:t>
            </w:r>
          </w:p>
          <w:p w:rsidR="00E13504" w:rsidRPr="00E13504" w:rsidRDefault="00E13504" w:rsidP="00E13504">
            <w:pPr>
              <w:ind w:left="720"/>
              <w:contextualSpacing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74.9%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22.6% 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104.2 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93.1%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22.4%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106.1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6.3</w:t>
            </w:r>
          </w:p>
        </w:tc>
      </w:tr>
      <w:tr w:rsidR="00E13504" w:rsidRPr="00E13504" w:rsidTr="00E13504">
        <w:trPr>
          <w:trHeight w:hRule="exact" w:val="1080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expected standard in writing (teacher assessment)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% reaching a high standard in writing (teacher assessment)  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76.4%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17.6%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93.1%</w:t>
            </w: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29.3%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6.4</w:t>
            </w:r>
          </w:p>
        </w:tc>
      </w:tr>
      <w:tr w:rsidR="00E13504" w:rsidRPr="00E13504" w:rsidTr="00E13504">
        <w:trPr>
          <w:trHeight w:hRule="exact" w:val="777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Pupil Premium (7)                                                                                    % RWM</w:t>
            </w:r>
          </w:p>
        </w:tc>
        <w:tc>
          <w:tcPr>
            <w:tcW w:w="449" w:type="pct"/>
            <w:vMerge w:val="restart"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     39%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71%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6.5</w:t>
            </w:r>
          </w:p>
        </w:tc>
      </w:tr>
      <w:tr w:rsidR="00E13504" w:rsidRPr="00E13504" w:rsidTr="00E13504">
        <w:trPr>
          <w:trHeight w:hRule="exact" w:val="651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Disadvantaged (4)                                                                                    % RWM </w:t>
            </w:r>
          </w:p>
        </w:tc>
        <w:tc>
          <w:tcPr>
            <w:tcW w:w="449" w:type="pct"/>
            <w:vMerge/>
            <w:shd w:val="clear" w:color="auto" w:fill="FFFFFF" w:themeFill="background1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75%</w:t>
            </w: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6.7</w:t>
            </w:r>
          </w:p>
        </w:tc>
      </w:tr>
      <w:tr w:rsidR="00E13504" w:rsidRPr="00E13504" w:rsidTr="00E13504">
        <w:trPr>
          <w:trHeight w:hRule="exact" w:val="1228"/>
        </w:trPr>
        <w:tc>
          <w:tcPr>
            <w:tcW w:w="2965" w:type="pct"/>
            <w:shd w:val="clear" w:color="auto" w:fill="CFDCE3"/>
            <w:tcMar>
              <w:top w:w="57" w:type="dxa"/>
              <w:bottom w:w="57" w:type="dxa"/>
            </w:tcMar>
          </w:tcPr>
          <w:p w:rsidR="00E13504" w:rsidRPr="00E13504" w:rsidRDefault="00E13504" w:rsidP="00E13504">
            <w:pPr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 xml:space="preserve">Gap for lowest attaining children – percentage inequality gap/trend </w:t>
            </w: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color w:val="0D0D0D" w:themeColor="text1" w:themeTint="F2"/>
                <w:sz w:val="24"/>
                <w:szCs w:val="24"/>
              </w:rPr>
            </w:pPr>
            <w:r w:rsidRPr="00E13504">
              <w:rPr>
                <w:rFonts w:eastAsia="Arial" w:cs="Arial"/>
                <w:color w:val="0D0D0D" w:themeColor="text1" w:themeTint="F2"/>
                <w:sz w:val="24"/>
                <w:szCs w:val="24"/>
              </w:rPr>
              <w:t>3.03</w:t>
            </w:r>
          </w:p>
        </w:tc>
        <w:tc>
          <w:tcPr>
            <w:tcW w:w="51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00B050"/>
          </w:tcPr>
          <w:p w:rsidR="00E13504" w:rsidRPr="00E13504" w:rsidRDefault="00E13504" w:rsidP="00E13504">
            <w:pPr>
              <w:jc w:val="center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E13504" w:rsidRPr="00E13504" w:rsidRDefault="00E13504" w:rsidP="00E13504">
      <w:pPr>
        <w:spacing w:after="240" w:line="288" w:lineRule="auto"/>
        <w:rPr>
          <w:rFonts w:ascii="Arial" w:eastAsia="Times New Roman" w:hAnsi="Arial" w:cs="Times New Roman"/>
          <w:color w:val="0D0D0D" w:themeColor="text1" w:themeTint="F2"/>
          <w:sz w:val="24"/>
          <w:szCs w:val="24"/>
          <w:lang w:eastAsia="en-GB"/>
        </w:rPr>
      </w:pPr>
    </w:p>
    <w:p w:rsidR="005264F1" w:rsidRDefault="005264F1"/>
    <w:sectPr w:rsidR="005264F1" w:rsidSect="00E135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73"/>
    <w:multiLevelType w:val="hybridMultilevel"/>
    <w:tmpl w:val="75EC76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6"/>
    <w:rsid w:val="001F2DB6"/>
    <w:rsid w:val="00414702"/>
    <w:rsid w:val="005264F1"/>
    <w:rsid w:val="00E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5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5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brown</dc:creator>
  <cp:lastModifiedBy>Andrew King</cp:lastModifiedBy>
  <cp:revision>2</cp:revision>
  <dcterms:created xsi:type="dcterms:W3CDTF">2017-09-15T16:36:00Z</dcterms:created>
  <dcterms:modified xsi:type="dcterms:W3CDTF">2017-09-15T16:36:00Z</dcterms:modified>
</cp:coreProperties>
</file>